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536" w:hanging="0"/>
        <w:contextualSpacing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Estima a Receita e fixa a Despesa do Orçamento Anual do Município de Vitória da Conquista para o exercício financeiro de 2019, bem como determina outras providências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PREFEITO MUNICIPAL DE VITÓRIA DA CONQUISTA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ESTADO DA BAHIA, no uso de suas atribuições com fundamento no que dispõe os arts. 46, inciso IV e 74, inciso III, da Lei Orgânica do Município, faz saber que a Câmara Municipal de Vitória da Conquista, aprova, e eu sanciono a seguinte Lei: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TÍTULO I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DA LEI DE ORÇAMENTO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CAPÍTULO ÚNICO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1.º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Esta Lei estima a Receita e fixa a Despesa para o exercício de 2019, compreendendo: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I.</w:t>
        <w:tab/>
        <w:t>O Orçamento Fiscal, referente aos Poderes Legislativo e Executivo.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II.</w:t>
        <w:tab/>
        <w:t>O Orçamento da Seguridade Social abrangendo os órgãos e entidades a ele vinculados, da Administração Direta, inclusive Fundos instituídos e mantidos pelo Poder Público.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TÍTULO II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DO ORÇAMENTO FISCAL E DA SEGURIDADE SOCIAL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CAPÍTULO I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DA ESTIMATIVA DA RECEITA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2.º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 Receita Total é estimada, no mesmo valor da Despesa, em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R$ 815.244.464,07 (oitocentos e quinze milhões duzentos e quarenta e quatro mil quatrocentos e sessenta e quatro reais e sete centavos)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sendo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R$ 530.460.016,52 (quinhentos e trinta milhões quatrocentos e sessenta mil dezesseis reais e cinquenta e dois centavos)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do Orçamento Fiscal e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R$ 284.784.447,55 (duzentos e oitenta e quatro milhões setecentos e oitenta e quatro mil quatrocentos e quarenta e sete reais e cinquenta e cinco centavos)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do Orçamento da Seguridade Social.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3.º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As Receitas, que decorrerão da arrecadação de tributos, contribuições e de outras receitas correntes e de capital, previstas na legislação vigente, discriminadas em anexo, são estimadas com o seguinte desdobramento.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376"/>
        <w:gridCol w:w="1755"/>
        <w:gridCol w:w="1759"/>
        <w:gridCol w:w="1613"/>
      </w:tblGrid>
      <w:tr>
        <w:trPr>
          <w:trHeight w:val="300" w:hRule="atLeast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DESCRIMINAÇÃO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TESOURO</w:t>
            </w:r>
          </w:p>
        </w:tc>
        <w:tc>
          <w:tcPr>
            <w:tcW w:w="1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OUTRAS FONTES</w:t>
            </w:r>
          </w:p>
        </w:tc>
        <w:tc>
          <w:tcPr>
            <w:tcW w:w="1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SOMA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RECEITAS CORRENTES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457.828.437,84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356.487.235,12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814.315.672,96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Impostos, Taxas e Contribuições de Melhoria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195.009.356,82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195.009.356,82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15.613.564,73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15.613.564,73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Receita Patrimonial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2.747.036,94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2.747.036,94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Transferências Correntes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232.194.865,39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353.740.198,19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585.935.063,58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Outras Receitas Correntes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15.010.650,89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15.010.650,89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RECEITAS DE CAPITAL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47.178.740,53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47.178.740,53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Operações de Crédito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44.828.382,17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44.828.382,17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Transferências de Capital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2.350.358,36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2.350.358,36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DEDUÇÕES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-46.249.949,44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-46.249.949,44 </w:t>
            </w:r>
          </w:p>
        </w:tc>
      </w:tr>
      <w:tr>
        <w:trPr>
          <w:trHeight w:val="300" w:hRule="atLeast"/>
        </w:trPr>
        <w:tc>
          <w:tcPr>
            <w:tcW w:w="3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411.578.488,40 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403.665.975,66 </w:t>
            </w:r>
          </w:p>
        </w:tc>
        <w:tc>
          <w:tcPr>
            <w:tcW w:w="16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815.244.464,06 </w:t>
            </w:r>
          </w:p>
        </w:tc>
      </w:tr>
    </w:tbl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CAPÍTULO II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DA FIXAÇÃO E DISTRIBUIÇÃO DA DESPESA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4.º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 Despesa Total, no mesmo valor da Receita, é fixada: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a) no Orçamento Fiscal em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530.460.016,52 (quinhentos e trinta milhões quatrocentos e sessenta mil dezesseis reais e cinquenta e dois centavos)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b) no Orçamento de Seguridade Social em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R$ 284.784.447,55 (duzentos e oitenta e quatro milhões setecentos e oitenta e quatro mil quatrocentos e quarenta e sete reais e cinquenta e cinco centavos)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5.º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 Despesa fixada à conta de recursos previstos neste título, observada a programação em anexo, apresenta segundo a categoria econômica, o seguinte desdobramento.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567"/>
        <w:gridCol w:w="1649"/>
        <w:gridCol w:w="1687"/>
        <w:gridCol w:w="1590"/>
      </w:tblGrid>
      <w:tr>
        <w:trPr>
          <w:tblHeader w:val="true"/>
          <w:trHeight w:val="300" w:hRule="atLeast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DESPESAS</w:t>
            </w:r>
          </w:p>
        </w:tc>
        <w:tc>
          <w:tcPr>
            <w:tcW w:w="16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FISCAL</w:t>
            </w:r>
          </w:p>
        </w:tc>
        <w:tc>
          <w:tcPr>
            <w:tcW w:w="1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SEGURIDADE SOCIAL</w:t>
            </w:r>
          </w:p>
        </w:tc>
        <w:tc>
          <w:tcPr>
            <w:tcW w:w="1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SOMA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3 - CORRENTES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412.308.264,35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274.611.948,58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686.920.212,93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31 - PESSOAL E ENCARGOS SOCIAIS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260.363.296,32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112.425.667,68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372.788.964,00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32 - JUROS E ENCARGOS DA DÍVIDA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6.069.000,00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100.000,00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6.169.000,00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33 - OUTRAS DESPESAS CORRENTES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145.875.968,03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162.086.280,90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307.962.248,93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4 - CAPITAL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116.951.752,17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10.172.498,97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127.124.251,14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44 - INVESTIMENTOS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99.250.752,17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8.454.717,37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107.705.469,54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45 - INVERSÕES FINANCEIRAS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1.000,00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1.000,00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46 - AMORTIZAÇÕES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17.700.000,00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1.717.781,60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19.417.781,60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99 - RESERVA DE CONTINGÊNCIA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1.200.000,00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1.200.000,00 </w:t>
            </w:r>
          </w:p>
        </w:tc>
      </w:tr>
      <w:tr>
        <w:trPr>
          <w:trHeight w:val="300" w:hRule="atLeast"/>
        </w:trPr>
        <w:tc>
          <w:tcPr>
            <w:tcW w:w="3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530.460.016,52 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284.784.447,55 </w:t>
            </w:r>
          </w:p>
        </w:tc>
        <w:tc>
          <w:tcPr>
            <w:tcW w:w="15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815.244.464,07 </w:t>
            </w:r>
          </w:p>
        </w:tc>
      </w:tr>
    </w:tbl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6.º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 Despesa fixada de acordo com o art. 5º apresenta por órgão, o seguinte desdobramento nos orçamentos.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827"/>
        <w:gridCol w:w="1561"/>
        <w:gridCol w:w="1562"/>
        <w:gridCol w:w="1553"/>
      </w:tblGrid>
      <w:tr>
        <w:trPr>
          <w:tblHeader w:val="true"/>
          <w:trHeight w:val="300" w:hRule="atLeast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DESPESAS</w:t>
            </w: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FISCAL</w:t>
            </w:r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SEGURIDADE SOCIAL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SOMA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PODER LEGISLATIVO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17.070.717,00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17.070.717,00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1900 - CÂMARA MUNICIPAL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17.070.717,00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17.070.717,00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PODER EXECUTIVO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513.389.299,52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284.784.447,55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798.173.747,07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2000 - GABINETE CIVIL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8.964.000,00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8.964.000,00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2100 - SECRETARIA MUNICIPAL DE GOVERNO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2.222.000,00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2.222.000,00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2200 - SECRETARIA MUNICIPAL DE ADMINISTRAÇÃO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35.237.000,00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35.237.000,00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2300 - SECRETARIA MUNICIPAL DE FINANÇAS E EXECUÇÃO ORÇAMENTÁRIA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49.088.310,08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49.088.310,08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2400 - SECRETARIA MUNICIPAL DE EDUCAÇÃO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230.632.868,88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230.632.868,88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2500 - SECRETARIA MUNICIPAL DE MOBILIDADE URBANA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77.215.999,67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77.215.999,67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2600 - SECRETARIA MUNICIPAL DE SAÚDE 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258.641.088,61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258.641.088,61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2700 - SECRETARIA DE AGRICULTURA E DESENVOLVIMENTO RURAL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8.051.000,00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8.051.000,00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2800 - SECRETARIA MUNICIPAL DE DESENVOLVIMENTO SOCIAL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26.143.358,94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26.143.358,94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2900 - SECRETARIA MUNICIPAL DE SERVIÇOS PÚBLICOS 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61.588.460,01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61.588.460,01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3000 - SECRETARIA MUNICIPAL DE COMUNICAÇÃO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3.273.000,00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3.273.000,00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3100 - SECRETARIA MUNICIPAL DO MEIO AMBIENTE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5.468.695,86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5.468.695,86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3200 - SECRETARIA MUNICIPAL DO TRABALHO, RENDA E DESENVOLVIMENTO ECONÔMICO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3.414.000,00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3.414.000,00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3300 - SECRETARIA MUNICIPAL DE CULTURA, TURISMO, ESPORTE E LAZER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5.781.965,02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5.781.965,02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3400 - SECRETARIA MUNICIPAL DA TRANSPARÊNCIA E DO CONTROLE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1.058.500,00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1.058.500,00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3500 - SECRETARIA MUNICIPAL DE INFRAESTRUTURA URBANA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21.393.500,00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21.393.500,00 </w:t>
            </w:r>
          </w:p>
        </w:tc>
      </w:tr>
      <w:tr>
        <w:trPr>
          <w:trHeight w:val="300" w:hRule="atLeast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530.460.016,52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284.784.447,55 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815.244.464,07 </w:t>
            </w:r>
          </w:p>
        </w:tc>
      </w:tr>
    </w:tbl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7.º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 Despesa fixada de acordo com o art. 5º apresenta por função o seguinte desdobramento nos orçamentos.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239"/>
        <w:gridCol w:w="1835"/>
        <w:gridCol w:w="1733"/>
        <w:gridCol w:w="1686"/>
      </w:tblGrid>
      <w:tr>
        <w:trPr>
          <w:tblHeader w:val="true"/>
          <w:trHeight w:val="300" w:hRule="atLeast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DESPESAS</w:t>
            </w:r>
          </w:p>
        </w:tc>
        <w:tc>
          <w:tcPr>
            <w:tcW w:w="1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FISCAL</w:t>
            </w:r>
          </w:p>
        </w:tc>
        <w:tc>
          <w:tcPr>
            <w:tcW w:w="17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SEGURIDADE SOCIAL</w:t>
            </w:r>
          </w:p>
        </w:tc>
        <w:tc>
          <w:tcPr>
            <w:tcW w:w="1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SOMA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01 - LEGISLATIVA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17.070.717,00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17.070.717,00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02 - JUDICIÁRIA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3.431.000,00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3.431.000,00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04 - ADMINISTRAÇÃO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62.647.554,16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62.647.554,16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05 - DEFESA NACIONAL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34.000,00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34.000,00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06 - SEGURANÇA PÚBLICA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2.204.000,00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2.204.000,00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08 - ASSISTÊNCIA SOCIAL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26.143.358,94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26.143.358,94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10 - SAÚDE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258.641.088,61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258.641.088,61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11 - TRABALHO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10.000,00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10.000,00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12 - EDUCAÇÃO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230.632.868,88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230.632.868,88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13 - CULTURA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1.365.465,02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1.365.465,02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14 - DIREITOS DA CIDADANIA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183.000,00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183.000,00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15 - URBANISMO 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151.523.459,68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151.523.459,68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16 - HABITAÇÕES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300.000,00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300.000,00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17 - SANEAMENTO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18 - GESTÃO AMBIENTAL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5.468.695,86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5.468.695,86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20 - AGRICULTURA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8.051.000,00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8.051.000,00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23 - COMÉRCIO E SERVIÇOS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620.000,00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620.000,00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24 - COMUNICAÇÕES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20.000,00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20.000,00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26 - TRANSPORTE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8.373.500,00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8.373.500,00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27 - DESPORTO E LAZER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720.000,00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720.000,00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28 - ENCARGOS ESPECIAIS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36.603.755,92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36.603.755,92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99 - RESERVA DE CONTINGÊNCIA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1.200.000,00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0,00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1.200.000,00 </w:t>
            </w:r>
          </w:p>
        </w:tc>
      </w:tr>
      <w:tr>
        <w:trPr>
          <w:trHeight w:val="300" w:hRule="atLeast"/>
        </w:trPr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530.460.016,52 </w:t>
            </w:r>
          </w:p>
        </w:tc>
        <w:tc>
          <w:tcPr>
            <w:tcW w:w="1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284.784.447,55 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815.244.464,07 </w:t>
            </w:r>
          </w:p>
        </w:tc>
      </w:tr>
    </w:tbl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TÍTULO III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DAS AUTORIZAÇÕES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CAPÍTULO ÚNICO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8.º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Fica o Poder Executivo autorizado a: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I – Abrir, créditos suplementares nos limites abaixo indicados: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Decorrentes de anulação parcial ou total de dotações, respeitado o limite de até 20% (vinte por cento) dos Orçamentos aprovados por esta Lei, conforme art. 43, § 1º, inciso III da Lei Federal nº 4.320/64;</w:t>
      </w:r>
    </w:p>
    <w:p>
      <w:pPr>
        <w:pStyle w:val="ListParagraph"/>
        <w:spacing w:lineRule="auto" w:line="360" w:before="0" w:after="0"/>
        <w:ind w:left="1069" w:hanging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Decorrentes de superávit financeiro, até o limite do valor efetivamente apurado no balanço Patrimonial do exercício anterior</w:t>
      </w:r>
      <w:r>
        <w:rPr>
          <w:rFonts w:ascii="Times New Roman" w:hAnsi="Times New Roman"/>
          <w:color w:val="000000" w:themeColor="text1"/>
          <w:sz w:val="24"/>
          <w:szCs w:val="24"/>
        </w:rPr>
        <w:t>, conforme estabelecido no art. 43, § 1º, inciso I, e § 2º, da Lei Federal nº 4.320/64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;</w:t>
      </w:r>
    </w:p>
    <w:p>
      <w:pPr>
        <w:pStyle w:val="ListParagraph"/>
        <w:spacing w:lineRule="auto" w:line="360" w:before="0" w:after="0"/>
        <w:ind w:left="1069" w:hanging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Provenientes de excesso de arrecadação, até o limite do valor efetivamente apurado na forma do art. 43, § 1º, inciso II, e §§ 3º e 4º da Lei Federal nº 4.320/64;</w:t>
      </w:r>
    </w:p>
    <w:p>
      <w:pPr>
        <w:pStyle w:val="ListParagraph"/>
        <w:spacing w:lineRule="auto" w:line="360" w:before="0" w:after="0"/>
        <w:ind w:left="1069" w:hanging="0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strike/>
          <w:color w:val="000000" w:themeColor="text1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Provenientes de excesso de arrecadação oriundos de recursos adicionais de transferências recebidas, com destinação específica, não previstos, ou insuficientemente estimados na Lei Orçamentária, até o limite dos valores adicionais efetivamente recebidos na forma do art. 43, § 1º, inciso II, e §§ 3º e 4º da Lei Federal nº 4.320/64, combinados com o art. 8º da Lei Complementar nº 101/2000;</w:t>
      </w:r>
    </w:p>
    <w:p>
      <w:pPr>
        <w:pStyle w:val="ListParagraph"/>
        <w:spacing w:lineRule="auto" w:line="360" w:before="0" w:after="0"/>
        <w:ind w:left="1069" w:hanging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Provenientes de operações de crédito ou saldo de operações de crédito autorizados em exercícios anteriores e não incluídas na estimativa da receita deste exercício, até o limite da mesma.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 – Utilizar reserva de contingência destinada ao atendimento de passivos contingentes e outros riscos e eventos fiscais imprevistos e demais créditos adicionais, conforme estabelecido na Lei de Diretrizes Orçamentárias para 2019.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III - Mediante a transposição, remanejamento ou a transferência de recursos de uma categoria de programação para outra ou de um órgão para o outro para atender a necessidades supervenientes, devidamente justificadas, também no limite estabelecido no inciso I, alínea a deste artigo.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§ 1º – Não serão computados, para efeito do limite previsto no inciso I, alínea a deste artigo, os créditos suplementares destinados a suprir insuficiências de dotações dentro do mesmo projeto ou atividade.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§ 2º – Os créditos suplementares autorizados nesta Lei deverão assegurar que os recursos legalmente vinculados a finalidades específicas serão utilizados exclusivamente para atender aos objetos de suas vinculações, em cumprimento ao disposto no parágrafo único do art. 8º da Lei Complementar nº 101/2000.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TÍTULO IV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DAS DISPOSIÇÕES FINAIS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CAPÍTULO ÚNICO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9º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A execução financeira dos Orçamentos Fiscal e da Seguridade Social atende, por ordem de importância, as despesas com pessoal e encargos sociais, manutenção do funcionamento da máquina administrativa, serviço da dívida, contrapartida de créditos internos e externos.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Art. 10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Esta Lei entra em vigor a partir de 1.º de janeiro de 2019, revogando-se as disposições em contrário.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Vitória da Conquista - BA, 15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 outubro de 2017.</w:t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>Herzem Gusmão Pereira</w:t>
      </w:r>
    </w:p>
    <w:p>
      <w:pPr>
        <w:pStyle w:val="Normal"/>
        <w:spacing w:lineRule="auto" w:line="36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Prefeito Municipal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515" w:footer="48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2">
              <wp:simplePos x="0" y="0"/>
              <wp:positionH relativeFrom="column">
                <wp:posOffset>-637540</wp:posOffset>
              </wp:positionH>
              <wp:positionV relativeFrom="paragraph">
                <wp:posOffset>74295</wp:posOffset>
              </wp:positionV>
              <wp:extent cx="6903085" cy="1270"/>
              <wp:effectExtent l="0" t="0" r="12700" b="0"/>
              <wp:wrapNone/>
              <wp:docPr id="3" name="Conector re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28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0.2pt,5.85pt" to="493.25pt,5.85pt" ID="Conector reto 10" stroked="t" style="position:absolute">
              <v:stroke color="#a6a6a6" weight="19080" joinstyle="round" endcap="flat"/>
              <v:fill o:detectmouseclick="t" on="false"/>
            </v:line>
          </w:pict>
        </mc:Fallback>
      </mc:AlternateContent>
    </w:r>
  </w:p>
  <w:p>
    <w:pPr>
      <w:pStyle w:val="Rodap"/>
      <w:ind w:left="-709" w:hanging="0"/>
      <w:rPr>
        <w:rFonts w:ascii="Arial" w:hAnsi="Arial" w:cs="Arial"/>
        <w:sz w:val="18"/>
        <w:szCs w:val="18"/>
      </w:rPr>
    </w:pPr>
    <w:r>
      <w:drawing>
        <wp:anchor behindDoc="1" distT="0" distB="0" distL="114300" distR="114300" simplePos="0" locked="0" layoutInCell="1" allowOverlap="1" relativeHeight="29">
          <wp:simplePos x="0" y="0"/>
          <wp:positionH relativeFrom="column">
            <wp:posOffset>3999230</wp:posOffset>
          </wp:positionH>
          <wp:positionV relativeFrom="paragraph">
            <wp:posOffset>635</wp:posOffset>
          </wp:positionV>
          <wp:extent cx="1990090" cy="815975"/>
          <wp:effectExtent l="0" t="0" r="0" b="0"/>
          <wp:wrapNone/>
          <wp:docPr id="4" name="Imagem 9" descr="MARCA PMVC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 descr="MARCA PMVC_2017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>P</w:t>
    </w:r>
    <w:r>
      <w:rPr>
        <w:rFonts w:cs="Arial" w:ascii="Arial" w:hAnsi="Arial"/>
        <w:sz w:val="18"/>
        <w:szCs w:val="18"/>
      </w:rPr>
      <w:t>ç. Joaquim Correia, 55 - Centro</w:t>
    </w:r>
  </w:p>
  <w:p>
    <w:pPr>
      <w:pStyle w:val="Rodap"/>
      <w:ind w:left="-709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Fone: (77) 3424-8500</w:t>
    </w:r>
  </w:p>
  <w:p>
    <w:pPr>
      <w:pStyle w:val="Rodap"/>
      <w:ind w:left="-709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CEP 45000-907 - Vitória da Conquista - Bahia</w:t>
    </w:r>
  </w:p>
  <w:p>
    <w:pPr>
      <w:pStyle w:val="Rodap"/>
      <w:ind w:left="-709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www.pmvc.ba.gov.br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sz w:val="24"/>
        <w:szCs w:val="24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-788035</wp:posOffset>
              </wp:positionH>
              <wp:positionV relativeFrom="paragraph">
                <wp:posOffset>975995</wp:posOffset>
              </wp:positionV>
              <wp:extent cx="6903085" cy="1270"/>
              <wp:effectExtent l="0" t="0" r="12700" b="0"/>
              <wp:wrapNone/>
              <wp:docPr id="1" name="Conector re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28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2.05pt,76.85pt" to="481.4pt,76.85pt" ID="Conector reto 9" stroked="t" style="position:absolute">
              <v:stroke color="#a6a6a6" weight="19080" joinstyle="round" endcap="flat"/>
              <v:fill o:detectmouseclick="t" on="false"/>
            </v:line>
          </w:pict>
        </mc:Fallback>
      </mc:AlternateContent>
      <w:drawing>
        <wp:anchor behindDoc="0" distT="0" distB="0" distL="114300" distR="114300" simplePos="0" locked="0" layoutInCell="1" allowOverlap="1" relativeHeight="15">
          <wp:simplePos x="0" y="0"/>
          <wp:positionH relativeFrom="column">
            <wp:posOffset>-339725</wp:posOffset>
          </wp:positionH>
          <wp:positionV relativeFrom="paragraph">
            <wp:posOffset>-99695</wp:posOffset>
          </wp:positionV>
          <wp:extent cx="739140" cy="927735"/>
          <wp:effectExtent l="0" t="0" r="0" b="0"/>
          <wp:wrapTight wrapText="bothSides">
            <wp:wrapPolygon edited="0">
              <wp:start x="6629" y="0"/>
              <wp:lineTo x="2161" y="440"/>
              <wp:lineTo x="1047" y="1765"/>
              <wp:lineTo x="2161" y="7074"/>
              <wp:lineTo x="-73" y="11494"/>
              <wp:lineTo x="-73" y="18126"/>
              <wp:lineTo x="6075" y="21222"/>
              <wp:lineTo x="15004" y="21222"/>
              <wp:lineTo x="21151" y="18126"/>
              <wp:lineTo x="21151" y="11494"/>
              <wp:lineTo x="18918" y="7074"/>
              <wp:lineTo x="20591" y="3090"/>
              <wp:lineTo x="18918" y="440"/>
              <wp:lineTo x="14450" y="0"/>
              <wp:lineTo x="6629" y="0"/>
            </wp:wrapPolygon>
          </wp:wrapTight>
          <wp:docPr id="2" name="Imagem 5" descr="Brasão_pmv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Brasão_pmvc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</w:rPr>
      <w:t>PREFEITURA MUNICIPAL DE VITÓRIA DA CONQUISTA</w:t>
    </w:r>
  </w:p>
  <w:p>
    <w:pPr>
      <w:pStyle w:val="Cabealho"/>
      <w:jc w:val="center"/>
      <w:rPr/>
    </w:pPr>
    <w:hyperlink r:id="rId2">
      <w:r>
        <w:rPr>
          <w:rStyle w:val="LinkdaInternet"/>
          <w:rFonts w:cs="Arial" w:ascii="Arial" w:hAnsi="Arial"/>
          <w:sz w:val="24"/>
          <w:szCs w:val="24"/>
        </w:rPr>
        <w:t>www.pmvc.ba.gov.br</w:t>
      </w:r>
    </w:hyperlink>
  </w:p>
  <w:p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  <w:p>
    <w:pPr>
      <w:pStyle w:val="Normal"/>
      <w:spacing w:lineRule="auto" w:line="360" w:before="0" w:after="0"/>
      <w:contextualSpacing/>
      <w:jc w:val="center"/>
      <w:rPr>
        <w:rFonts w:ascii="Times New Roman" w:hAnsi="Times New Roman"/>
        <w:b/>
        <w:b/>
        <w:color w:val="000000" w:themeColor="text1"/>
        <w:sz w:val="24"/>
        <w:szCs w:val="24"/>
        <w:lang w:eastAsia="pt-BR"/>
      </w:rPr>
    </w:pPr>
    <w:r>
      <w:rPr>
        <w:rFonts w:ascii="Times New Roman" w:hAnsi="Times New Roman"/>
        <w:b/>
        <w:color w:val="000000" w:themeColor="text1"/>
        <w:sz w:val="24"/>
        <w:szCs w:val="24"/>
        <w:lang w:eastAsia="pt-BR"/>
      </w:rPr>
      <w:t>PROJETO DE LEI MUNICIPAL N° 018 DE 15 DE OUTUBRO DE 2018.</w:t>
    </w:r>
  </w:p>
  <w:p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9" w:hanging="360"/>
      </w:pPr>
      <w:rPr>
        <w:dstrike w:val="false"/>
        <w:strike w:val="false"/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8820ec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800e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00ed"/>
    <w:rPr/>
  </w:style>
  <w:style w:type="character" w:styleId="LinkdaInternet">
    <w:name w:val="Link da Internet"/>
    <w:uiPriority w:val="99"/>
    <w:unhideWhenUsed/>
    <w:rsid w:val="007800e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trike w:val="false"/>
      <w:dstrike w:val="false"/>
      <w:sz w:val="24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2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00e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800e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35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mvc.ba.gov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5176-2036-4DBB-A3AE-549DFE3B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LibreOffice/5.1.6.2$Linux_x86 LibreOffice_project/10m0$Build-2</Application>
  <Pages>7</Pages>
  <Words>1530</Words>
  <CharactersWithSpaces>8266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2018-10-09T18:06:00Z</dcterms:created>
  <dc:creator>SecomPC</dc:creator>
  <dc:description/>
  <dc:language>pt-BR</dc:language>
  <cp:lastModifiedBy>Gabinete</cp:lastModifiedBy>
  <dcterms:modified xsi:type="dcterms:W3CDTF">2018-10-15T11:42:00Z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